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8306"/>
      </w:tblGrid>
      <w:tr w:rsidR="002B602B" w:rsidRPr="002B602B" w:rsidTr="000C77AB">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2B602B" w:rsidRPr="002B602B" w:rsidRDefault="002B602B" w:rsidP="002B602B">
                <w:pPr>
                  <w:tabs>
                    <w:tab w:val="center" w:pos="4153"/>
                    <w:tab w:val="right" w:pos="8306"/>
                  </w:tabs>
                  <w:jc w:val="center"/>
                  <w:rPr>
                    <w:rFonts w:ascii="Tahoma" w:hAnsi="Tahoma"/>
                    <w:noProof w:val="0"/>
                    <w:color w:val="000080"/>
                    <w:sz w:val="32"/>
                    <w:szCs w:val="32"/>
                    <w:rtl/>
                  </w:rPr>
                </w:pPr>
                <w:r w:rsidRPr="002B602B">
                  <w:rPr>
                    <w:rFonts w:ascii="Tahoma" w:hAnsi="Tahoma"/>
                    <w:color w:val="000080"/>
                    <w:sz w:val="32"/>
                    <w:szCs w:val="32"/>
                    <w:rtl/>
                  </w:rPr>
                  <w:t>בית משפט לענייני משפחה בקריות</w:t>
                </w:r>
              </w:p>
            </w:tc>
          </w:sdtContent>
        </w:sdt>
      </w:tr>
      <w:tr w:rsidR="002B602B" w:rsidRPr="002B602B" w:rsidTr="000C77AB">
        <w:trPr>
          <w:trHeight w:val="337"/>
          <w:jc w:val="center"/>
        </w:trPr>
        <w:tc>
          <w:tcPr>
            <w:tcW w:w="8505" w:type="dxa"/>
          </w:tcPr>
          <w:p w:rsidR="002B602B" w:rsidRPr="002B602B" w:rsidRDefault="00A73EE0" w:rsidP="002B602B">
            <w:pPr>
              <w:rPr>
                <w:b/>
                <w:bCs/>
                <w:noProof w:val="0"/>
                <w:sz w:val="26"/>
                <w:szCs w:val="26"/>
                <w:rtl/>
              </w:rPr>
            </w:pPr>
            <w:sdt>
              <w:sdtPr>
                <w:rPr>
                  <w:rtl/>
                </w:rPr>
                <w:alias w:val="1170"/>
                <w:tag w:val="1170"/>
                <w:id w:val="1066377040"/>
                <w:text w:multiLine="1"/>
              </w:sdtPr>
              <w:sdtEndPr/>
              <w:sdtContent>
                <w:r w:rsidR="002B602B" w:rsidRPr="002B602B">
                  <w:rPr>
                    <w:rtl/>
                  </w:rPr>
                  <w:t>תה"ס</w:t>
                </w:r>
              </w:sdtContent>
            </w:sdt>
            <w:r w:rsidR="002B602B" w:rsidRPr="002B602B">
              <w:rPr>
                <w:b/>
                <w:bCs/>
                <w:noProof w:val="0"/>
                <w:sz w:val="26"/>
                <w:szCs w:val="26"/>
                <w:rtl/>
              </w:rPr>
              <w:t xml:space="preserve"> </w:t>
            </w:r>
            <w:bookmarkStart w:id="0" w:name="_GoBack"/>
            <w:sdt>
              <w:sdtPr>
                <w:rPr>
                  <w:rtl/>
                </w:rPr>
                <w:alias w:val="1171"/>
                <w:tag w:val="1171"/>
                <w:id w:val="257034231"/>
                <w:text w:multiLine="1"/>
              </w:sdtPr>
              <w:sdtEndPr/>
              <w:sdtContent>
                <w:r w:rsidR="002B602B" w:rsidRPr="002B602B">
                  <w:rPr>
                    <w:rtl/>
                  </w:rPr>
                  <w:t>40941-09-24</w:t>
                </w:r>
              </w:sdtContent>
            </w:sdt>
            <w:bookmarkEnd w:id="0"/>
            <w:r w:rsidR="002B602B" w:rsidRPr="002B602B">
              <w:rPr>
                <w:b/>
                <w:bCs/>
                <w:noProof w:val="0"/>
                <w:sz w:val="26"/>
                <w:szCs w:val="26"/>
                <w:rtl/>
              </w:rPr>
              <w:t xml:space="preserve"> </w:t>
            </w:r>
          </w:p>
          <w:p w:rsidR="002B602B" w:rsidRPr="002B602B" w:rsidRDefault="002B602B" w:rsidP="002B602B">
            <w:pPr>
              <w:rPr>
                <w:b/>
                <w:bCs/>
                <w:noProof w:val="0"/>
                <w:sz w:val="2"/>
                <w:szCs w:val="2"/>
                <w:rtl/>
              </w:rPr>
            </w:pPr>
          </w:p>
          <w:p w:rsidR="002B602B" w:rsidRPr="002B602B" w:rsidRDefault="002B602B" w:rsidP="002B602B">
            <w:pPr>
              <w:rPr>
                <w:sz w:val="20"/>
                <w:szCs w:val="20"/>
                <w:rtl/>
              </w:rPr>
            </w:pPr>
            <w:r w:rsidRPr="002B602B">
              <w:rPr>
                <w:rFonts w:hint="cs"/>
                <w:rtl/>
              </w:rPr>
              <w:t xml:space="preserve">                           </w:t>
            </w:r>
            <w:r w:rsidRPr="002B602B">
              <w:rPr>
                <w:rFonts w:hint="cs"/>
                <w:sz w:val="20"/>
                <w:szCs w:val="20"/>
                <w:rtl/>
              </w:rPr>
              <w:t xml:space="preserve">                                     </w:t>
            </w:r>
          </w:p>
        </w:tc>
      </w:tr>
    </w:tbl>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B602B" w:rsidRPr="002B602B" w:rsidTr="000C77AB">
        <w:trPr>
          <w:jc w:val="center"/>
        </w:trPr>
        <w:tc>
          <w:tcPr>
            <w:tcW w:w="743" w:type="dxa"/>
          </w:tcPr>
          <w:p w:rsidR="002B602B" w:rsidRPr="002B602B" w:rsidRDefault="002B602B" w:rsidP="002B602B">
            <w:pPr>
              <w:suppressLineNumbers/>
              <w:jc w:val="both"/>
              <w:rPr>
                <w:rFonts w:ascii="Arial" w:hAnsi="Arial"/>
                <w:b/>
                <w:bCs/>
                <w:rtl/>
              </w:rPr>
            </w:pPr>
            <w:r w:rsidRPr="002B602B">
              <w:rPr>
                <w:rFonts w:ascii="Arial" w:hAnsi="Arial" w:hint="cs"/>
                <w:b/>
                <w:bCs/>
                <w:rtl/>
              </w:rPr>
              <w:t>ל</w:t>
            </w:r>
            <w:r w:rsidRPr="002B602B">
              <w:rPr>
                <w:rFonts w:ascii="Arial" w:hAnsi="Arial"/>
                <w:b/>
                <w:bCs/>
                <w:rtl/>
              </w:rPr>
              <w:t xml:space="preserve">פני </w:t>
            </w:r>
          </w:p>
        </w:tc>
        <w:tc>
          <w:tcPr>
            <w:tcW w:w="8077" w:type="dxa"/>
            <w:gridSpan w:val="2"/>
          </w:tcPr>
          <w:p w:rsidR="002B602B" w:rsidRPr="002B602B" w:rsidRDefault="002B602B" w:rsidP="002B602B">
            <w:pPr>
              <w:suppressLineNumbers/>
              <w:rPr>
                <w:rFonts w:ascii="Arial" w:hAnsi="Arial"/>
                <w:b/>
                <w:bCs/>
                <w:rtl/>
              </w:rPr>
            </w:pPr>
            <w:r w:rsidRPr="002B602B">
              <w:rPr>
                <w:rFonts w:ascii="Arial" w:hAnsi="Arial" w:hint="cs"/>
                <w:b/>
                <w:bCs/>
                <w:rtl/>
              </w:rPr>
              <w:t>כבוד ה</w:t>
            </w:r>
            <w:sdt>
              <w:sdtPr>
                <w:rPr>
                  <w:rtl/>
                </w:rPr>
                <w:alias w:val="1574"/>
                <w:tag w:val="1574"/>
                <w:id w:val="414602899"/>
                <w:text w:multiLine="1"/>
              </w:sdtPr>
              <w:sdtEndPr/>
              <w:sdtContent>
                <w:r w:rsidRPr="002B602B">
                  <w:rPr>
                    <w:rtl/>
                  </w:rPr>
                  <w:t>שופטת</w:t>
                </w:r>
              </w:sdtContent>
            </w:sdt>
            <w:r w:rsidRPr="002B602B">
              <w:rPr>
                <w:rFonts w:ascii="Arial" w:hAnsi="Arial" w:hint="cs"/>
                <w:b/>
                <w:bCs/>
                <w:rtl/>
              </w:rPr>
              <w:t xml:space="preserve">  </w:t>
            </w:r>
            <w:sdt>
              <w:sdtPr>
                <w:rPr>
                  <w:rtl/>
                </w:rPr>
                <w:alias w:val="1573"/>
                <w:tag w:val="1573"/>
                <w:id w:val="-1751030614"/>
                <w:text w:multiLine="1"/>
              </w:sdtPr>
              <w:sdtEndPr/>
              <w:sdtContent>
                <w:r w:rsidRPr="002B602B">
                  <w:rPr>
                    <w:rtl/>
                  </w:rPr>
                  <w:t>ליאת דהן חיון</w:t>
                </w:r>
              </w:sdtContent>
            </w:sdt>
          </w:p>
          <w:p w:rsidR="002B602B" w:rsidRPr="002B602B" w:rsidRDefault="002B602B" w:rsidP="002B602B">
            <w:pPr>
              <w:suppressLineNumbers/>
              <w:rPr>
                <w:rFonts w:ascii="Arial" w:hAnsi="Arial" w:cs="FrankRuehl"/>
                <w:sz w:val="28"/>
                <w:szCs w:val="28"/>
                <w:highlight w:val="yellow"/>
              </w:rPr>
            </w:pPr>
          </w:p>
        </w:tc>
      </w:tr>
      <w:tr w:rsidR="002B602B" w:rsidRPr="002B602B" w:rsidTr="000C77AB">
        <w:trPr>
          <w:jc w:val="center"/>
        </w:trPr>
        <w:tc>
          <w:tcPr>
            <w:tcW w:w="3249" w:type="dxa"/>
            <w:gridSpan w:val="2"/>
          </w:tcPr>
          <w:sdt>
            <w:sdtPr>
              <w:rPr>
                <w:rtl/>
              </w:rPr>
              <w:alias w:val="1180"/>
              <w:tag w:val="1180"/>
              <w:id w:val="637458750"/>
              <w:text w:multiLine="1"/>
            </w:sdtPr>
            <w:sdtEndPr/>
            <w:sdtContent>
              <w:p w:rsidR="002B602B" w:rsidRPr="002B602B" w:rsidRDefault="002B602B" w:rsidP="002B602B">
                <w:pPr>
                  <w:suppressLineNumbers/>
                  <w:rPr>
                    <w:rFonts w:ascii="Arial" w:hAnsi="Arial"/>
                    <w:b/>
                    <w:bCs/>
                    <w:noProof w:val="0"/>
                    <w:sz w:val="26"/>
                    <w:szCs w:val="26"/>
                    <w:rtl/>
                  </w:rPr>
                </w:pPr>
                <w:r w:rsidRPr="002B602B">
                  <w:rPr>
                    <w:rtl/>
                  </w:rPr>
                  <w:t>תובע</w:t>
                </w:r>
              </w:p>
            </w:sdtContent>
          </w:sdt>
        </w:tc>
        <w:tc>
          <w:tcPr>
            <w:tcW w:w="5571" w:type="dxa"/>
          </w:tcPr>
          <w:p w:rsidR="002B602B" w:rsidRPr="002B602B" w:rsidRDefault="002B602B" w:rsidP="002B602B">
            <w:pPr>
              <w:suppressLineNumbers/>
              <w:rPr>
                <w:b/>
                <w:bCs/>
                <w:noProof w:val="0"/>
                <w:sz w:val="26"/>
                <w:szCs w:val="26"/>
              </w:rPr>
            </w:pPr>
            <w:r w:rsidRPr="002B602B">
              <w:rPr>
                <w:rFonts w:hint="cs"/>
                <w:b/>
                <w:bCs/>
                <w:noProof w:val="0"/>
                <w:sz w:val="26"/>
                <w:szCs w:val="26"/>
                <w:rtl/>
              </w:rPr>
              <w:t>תובע</w:t>
            </w:r>
          </w:p>
        </w:tc>
      </w:tr>
      <w:tr w:rsidR="002B602B" w:rsidRPr="002B602B" w:rsidTr="000C77AB">
        <w:trPr>
          <w:jc w:val="center"/>
        </w:trPr>
        <w:tc>
          <w:tcPr>
            <w:tcW w:w="8820" w:type="dxa"/>
            <w:gridSpan w:val="3"/>
          </w:tcPr>
          <w:p w:rsidR="002B602B" w:rsidRPr="002B602B" w:rsidRDefault="002B602B" w:rsidP="002B602B">
            <w:pPr>
              <w:suppressLineNumbers/>
              <w:rPr>
                <w:rFonts w:ascii="Arial" w:hAnsi="Arial"/>
                <w:b/>
                <w:bCs/>
                <w:noProof w:val="0"/>
                <w:sz w:val="26"/>
                <w:szCs w:val="26"/>
                <w:rtl/>
              </w:rPr>
            </w:pPr>
          </w:p>
          <w:p w:rsidR="002B602B" w:rsidRPr="002B602B" w:rsidRDefault="002B602B" w:rsidP="002B602B">
            <w:pPr>
              <w:suppressLineNumbers/>
              <w:jc w:val="center"/>
              <w:rPr>
                <w:rFonts w:ascii="Arial" w:hAnsi="Arial"/>
                <w:b/>
                <w:bCs/>
                <w:noProof w:val="0"/>
                <w:sz w:val="26"/>
                <w:szCs w:val="26"/>
                <w:rtl/>
              </w:rPr>
            </w:pPr>
            <w:r w:rsidRPr="002B602B">
              <w:rPr>
                <w:rFonts w:ascii="Arial" w:hAnsi="Arial"/>
                <w:b/>
                <w:bCs/>
                <w:noProof w:val="0"/>
                <w:sz w:val="26"/>
                <w:szCs w:val="26"/>
                <w:rtl/>
              </w:rPr>
              <w:t>נגד</w:t>
            </w:r>
          </w:p>
          <w:p w:rsidR="002B602B" w:rsidRPr="002B602B" w:rsidRDefault="002B602B" w:rsidP="002B602B">
            <w:pPr>
              <w:suppressLineNumbers/>
              <w:rPr>
                <w:rFonts w:ascii="Arial" w:hAnsi="Arial"/>
                <w:b/>
                <w:bCs/>
                <w:noProof w:val="0"/>
                <w:sz w:val="26"/>
                <w:szCs w:val="26"/>
              </w:rPr>
            </w:pPr>
          </w:p>
        </w:tc>
      </w:tr>
      <w:tr w:rsidR="002B602B" w:rsidRPr="002B602B" w:rsidTr="000C77AB">
        <w:trPr>
          <w:jc w:val="center"/>
        </w:trPr>
        <w:tc>
          <w:tcPr>
            <w:tcW w:w="3249" w:type="dxa"/>
            <w:gridSpan w:val="2"/>
          </w:tcPr>
          <w:p w:rsidR="002B602B" w:rsidRPr="002B602B" w:rsidRDefault="00A73EE0" w:rsidP="002B602B">
            <w:pPr>
              <w:suppressLineNumbers/>
              <w:rPr>
                <w:rFonts w:ascii="Arial" w:hAnsi="Arial"/>
                <w:b/>
                <w:bCs/>
                <w:noProof w:val="0"/>
                <w:sz w:val="26"/>
                <w:szCs w:val="26"/>
              </w:rPr>
            </w:pPr>
            <w:sdt>
              <w:sdtPr>
                <w:rPr>
                  <w:rtl/>
                </w:rPr>
                <w:alias w:val="1184"/>
                <w:tag w:val="1184"/>
                <w:id w:val="-340621022"/>
                <w:text w:multiLine="1"/>
              </w:sdtPr>
              <w:sdtEndPr/>
              <w:sdtContent>
                <w:r w:rsidR="002B602B" w:rsidRPr="002B602B">
                  <w:rPr>
                    <w:rtl/>
                  </w:rPr>
                  <w:t>נתבע</w:t>
                </w:r>
                <w:r w:rsidR="002B602B" w:rsidRPr="002B602B">
                  <w:rPr>
                    <w:rFonts w:hint="cs"/>
                    <w:rtl/>
                  </w:rPr>
                  <w:t>ת</w:t>
                </w:r>
              </w:sdtContent>
            </w:sdt>
          </w:p>
        </w:tc>
        <w:tc>
          <w:tcPr>
            <w:tcW w:w="5571" w:type="dxa"/>
          </w:tcPr>
          <w:p w:rsidR="002B602B" w:rsidRPr="002B602B" w:rsidRDefault="002B602B" w:rsidP="002B602B">
            <w:pPr>
              <w:suppressLineNumbers/>
              <w:rPr>
                <w:rFonts w:ascii="Arial" w:hAnsi="Arial"/>
                <w:b/>
                <w:bCs/>
                <w:noProof w:val="0"/>
                <w:sz w:val="26"/>
                <w:szCs w:val="26"/>
                <w:rtl/>
              </w:rPr>
            </w:pPr>
            <w:r w:rsidRPr="002B602B">
              <w:rPr>
                <w:rFonts w:hint="cs"/>
                <w:rtl/>
              </w:rPr>
              <w:t xml:space="preserve">נתבעת </w:t>
            </w:r>
          </w:p>
          <w:p w:rsidR="002B602B" w:rsidRPr="002B602B" w:rsidRDefault="002B602B" w:rsidP="002B602B">
            <w:pPr>
              <w:suppressLineNumbers/>
              <w:rPr>
                <w:b/>
                <w:bCs/>
                <w:noProof w:val="0"/>
                <w:sz w:val="26"/>
                <w:szCs w:val="26"/>
                <w:rtl/>
              </w:rPr>
            </w:pPr>
          </w:p>
        </w:tc>
      </w:tr>
    </w:tbl>
    <w:p w:rsidR="002B602B" w:rsidRPr="002B602B" w:rsidRDefault="002B602B" w:rsidP="002B602B">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B602B" w:rsidRPr="002B602B" w:rsidTr="000C77AB">
        <w:trPr>
          <w:jc w:val="center"/>
        </w:trPr>
        <w:tc>
          <w:tcPr>
            <w:tcW w:w="8820" w:type="dxa"/>
          </w:tcPr>
          <w:p w:rsidR="002B602B" w:rsidRPr="002B602B" w:rsidRDefault="002B602B" w:rsidP="002B602B">
            <w:pPr>
              <w:bidi w:val="0"/>
              <w:jc w:val="center"/>
              <w:rPr>
                <w:rFonts w:ascii="Arial" w:hAnsi="Arial"/>
                <w:b/>
                <w:bCs/>
                <w:noProof w:val="0"/>
                <w:sz w:val="28"/>
                <w:szCs w:val="28"/>
                <w:u w:val="single"/>
                <w:rtl/>
              </w:rPr>
            </w:pPr>
            <w:r w:rsidRPr="002B602B">
              <w:rPr>
                <w:rFonts w:ascii="Arial" w:hAnsi="Arial" w:hint="cs"/>
                <w:b/>
                <w:bCs/>
                <w:noProof w:val="0"/>
                <w:sz w:val="28"/>
                <w:szCs w:val="28"/>
                <w:u w:val="single"/>
                <w:rtl/>
              </w:rPr>
              <w:t>החלטה</w:t>
            </w:r>
          </w:p>
          <w:p w:rsidR="002B602B" w:rsidRPr="002B602B" w:rsidRDefault="002B602B" w:rsidP="002B602B">
            <w:pPr>
              <w:bidi w:val="0"/>
              <w:jc w:val="center"/>
              <w:rPr>
                <w:rFonts w:ascii="Arial" w:hAnsi="Arial"/>
                <w:b/>
                <w:bCs/>
                <w:noProof w:val="0"/>
                <w:sz w:val="28"/>
                <w:szCs w:val="28"/>
                <w:u w:val="single"/>
              </w:rPr>
            </w:pPr>
          </w:p>
        </w:tc>
      </w:tr>
    </w:tbl>
    <w:p w:rsidR="002B602B" w:rsidRPr="002B602B" w:rsidRDefault="002B602B" w:rsidP="002B602B">
      <w:pPr>
        <w:spacing w:line="360" w:lineRule="auto"/>
        <w:jc w:val="both"/>
        <w:rPr>
          <w:rFonts w:ascii="Arial" w:hAnsi="Arial"/>
          <w:noProof w:val="0"/>
          <w:rtl/>
        </w:rPr>
      </w:pPr>
      <w:bookmarkStart w:id="1" w:name="NGCSBookmark"/>
      <w:bookmarkEnd w:id="1"/>
    </w:p>
    <w:p w:rsidR="002B602B" w:rsidRPr="002B602B" w:rsidRDefault="002B602B" w:rsidP="002B602B">
      <w:pPr>
        <w:spacing w:line="360" w:lineRule="auto"/>
        <w:jc w:val="both"/>
        <w:rPr>
          <w:rFonts w:ascii="Arial" w:hAnsi="Arial"/>
          <w:noProof w:val="0"/>
          <w:rtl/>
        </w:rPr>
      </w:pPr>
      <w:r w:rsidRPr="002B602B">
        <w:rPr>
          <w:rFonts w:ascii="Arial" w:hAnsi="Arial" w:hint="cs"/>
          <w:noProof w:val="0"/>
          <w:rtl/>
        </w:rPr>
        <w:t xml:space="preserve">לפניי בקשה לסעד זמני שהוגשה בתביעה לאכיפת הסכם, מסגרתו עותר התובע למתן צו לפירוק שיתוף בדירת מגורים שהזכויות בה בבעלות משותפת. </w:t>
      </w:r>
      <w:r w:rsidRPr="002B602B">
        <w:rPr>
          <w:rFonts w:ascii="Arial" w:hAnsi="Arial"/>
          <w:noProof w:val="0"/>
          <w:rtl/>
        </w:rPr>
        <w:t>לאחר שעיינתי בבקשה</w:t>
      </w:r>
      <w:r w:rsidRPr="002B602B">
        <w:rPr>
          <w:rFonts w:ascii="Arial" w:hAnsi="Arial" w:hint="cs"/>
          <w:noProof w:val="0"/>
          <w:rtl/>
        </w:rPr>
        <w:t xml:space="preserve"> ואף בהיעדר תגובה, מצאתי לדחותה. </w:t>
      </w:r>
      <w:r w:rsidRPr="002B602B">
        <w:rPr>
          <w:rFonts w:ascii="Arial" w:hAnsi="Arial"/>
          <w:noProof w:val="0"/>
          <w:rtl/>
        </w:rPr>
        <w:t>ואנמק;</w:t>
      </w:r>
    </w:p>
    <w:p w:rsidR="002B602B" w:rsidRPr="002B602B" w:rsidRDefault="002B602B" w:rsidP="002B602B">
      <w:pPr>
        <w:jc w:val="both"/>
        <w:rPr>
          <w:rFonts w:ascii="Arial" w:hAnsi="Arial"/>
          <w:noProof w:val="0"/>
          <w:rtl/>
        </w:rPr>
      </w:pPr>
    </w:p>
    <w:p w:rsidR="002B602B" w:rsidRPr="002B602B" w:rsidRDefault="002B602B" w:rsidP="002B602B">
      <w:pPr>
        <w:numPr>
          <w:ilvl w:val="0"/>
          <w:numId w:val="1"/>
        </w:numPr>
        <w:spacing w:line="360" w:lineRule="auto"/>
        <w:contextualSpacing/>
        <w:jc w:val="both"/>
        <w:rPr>
          <w:rFonts w:ascii="Arial" w:hAnsi="Arial"/>
          <w:noProof w:val="0"/>
        </w:rPr>
      </w:pPr>
      <w:r w:rsidRPr="002B602B">
        <w:rPr>
          <w:rFonts w:ascii="Arial" w:hAnsi="Arial"/>
          <w:noProof w:val="0"/>
          <w:rtl/>
        </w:rPr>
        <w:t>כידוע, מטרת הצו הזמני הינה שמירת המצב הקיים העלול להשתנות אם לא יינתן. הענקתו של הצו הזמני נועדה לשמור על המשך קיומה של מערכת הנסיבות השוררת בעת הגשת התובענה שאם לא כן עלולים הנתבעים לנצל לרעה את תקופת הביניים עד למתן פס"ד בתובענה. מכאן, תפקידו של הסעד הזמני הוא להסדיר באופן זמני מצב עניינים שיבטיח את ביצועו של פסק הדין הסופי שיינתן לאחריו. (ראו לעניין זה ספרו של אורי גורן , סעדים זמניים, מהדורה תשיעית, עמוד 503).</w:t>
      </w:r>
    </w:p>
    <w:p w:rsidR="002B602B" w:rsidRPr="002B602B" w:rsidRDefault="002B602B" w:rsidP="002B602B">
      <w:pPr>
        <w:ind w:left="360"/>
        <w:contextualSpacing/>
        <w:jc w:val="both"/>
        <w:rPr>
          <w:rFonts w:ascii="Arial" w:hAnsi="Arial"/>
          <w:noProof w:val="0"/>
        </w:rPr>
      </w:pPr>
    </w:p>
    <w:p w:rsidR="002B602B" w:rsidRPr="002B602B" w:rsidRDefault="002B602B" w:rsidP="002B602B">
      <w:pPr>
        <w:numPr>
          <w:ilvl w:val="0"/>
          <w:numId w:val="1"/>
        </w:numPr>
        <w:spacing w:line="360" w:lineRule="auto"/>
        <w:contextualSpacing/>
        <w:jc w:val="both"/>
        <w:rPr>
          <w:rFonts w:ascii="Arial" w:hAnsi="Arial"/>
          <w:noProof w:val="0"/>
        </w:rPr>
      </w:pPr>
      <w:r w:rsidRPr="002B602B">
        <w:rPr>
          <w:rFonts w:ascii="Arial" w:hAnsi="Arial"/>
          <w:noProof w:val="0"/>
          <w:rtl/>
        </w:rPr>
        <w:t>תקנה 95 (ב) לתקנות סדר הדין האזרחי</w:t>
      </w:r>
      <w:r w:rsidRPr="002B602B">
        <w:rPr>
          <w:rFonts w:ascii="Arial" w:hAnsi="Arial" w:hint="cs"/>
          <w:noProof w:val="0"/>
          <w:rtl/>
        </w:rPr>
        <w:t>,</w:t>
      </w:r>
      <w:r w:rsidRPr="002B602B">
        <w:rPr>
          <w:rFonts w:ascii="Arial" w:hAnsi="Arial"/>
          <w:noProof w:val="0"/>
          <w:rtl/>
        </w:rPr>
        <w:t xml:space="preserve"> תשע"ט-2018 (</w:t>
      </w:r>
      <w:proofErr w:type="spellStart"/>
      <w:r w:rsidRPr="002B602B">
        <w:rPr>
          <w:rFonts w:ascii="Arial" w:hAnsi="Arial"/>
          <w:noProof w:val="0"/>
          <w:rtl/>
        </w:rPr>
        <w:t>להלן:</w:t>
      </w:r>
      <w:r w:rsidRPr="002B602B">
        <w:rPr>
          <w:rFonts w:ascii="Arial" w:hAnsi="Arial"/>
          <w:b/>
          <w:bCs/>
          <w:noProof w:val="0"/>
          <w:rtl/>
        </w:rPr>
        <w:t>"התקנות</w:t>
      </w:r>
      <w:proofErr w:type="spellEnd"/>
      <w:r w:rsidRPr="002B602B">
        <w:rPr>
          <w:rFonts w:ascii="Arial" w:hAnsi="Arial"/>
          <w:b/>
          <w:bCs/>
          <w:noProof w:val="0"/>
          <w:rtl/>
        </w:rPr>
        <w:t>"</w:t>
      </w:r>
      <w:r w:rsidRPr="002B602B">
        <w:rPr>
          <w:rFonts w:ascii="Arial" w:hAnsi="Arial"/>
          <w:noProof w:val="0"/>
          <w:rtl/>
        </w:rPr>
        <w:t>) והצריכה לעניין, מגבשת את כללי הפסיקה שקדמה לה  לעניין מתן סעד זמני וקובעת כדלקמן:</w:t>
      </w:r>
    </w:p>
    <w:p w:rsidR="002B602B" w:rsidRPr="002B602B" w:rsidRDefault="002B602B" w:rsidP="002B602B">
      <w:pPr>
        <w:spacing w:line="360" w:lineRule="auto"/>
        <w:ind w:left="720"/>
        <w:contextualSpacing/>
        <w:jc w:val="both"/>
        <w:rPr>
          <w:rFonts w:ascii="Arial" w:hAnsi="Arial"/>
          <w:b/>
          <w:bCs/>
          <w:noProof w:val="0"/>
          <w:rtl/>
        </w:rPr>
      </w:pPr>
      <w:r w:rsidRPr="002B602B">
        <w:rPr>
          <w:rFonts w:ascii="Arial" w:hAnsi="Arial"/>
          <w:b/>
          <w:bCs/>
          <w:noProof w:val="0"/>
          <w:rtl/>
        </w:rPr>
        <w:t>"(ב)</w:t>
      </w:r>
      <w:r w:rsidRPr="002B602B">
        <w:rPr>
          <w:rFonts w:ascii="Arial" w:hAnsi="Arial"/>
          <w:b/>
          <w:bCs/>
          <w:noProof w:val="0"/>
          <w:rtl/>
        </w:rPr>
        <w:tab/>
        <w:t>הוגשה בקשה למתן סעד זמני במסגרת תביעה, רשאי בית המשפט לתת את הסעד המבוקש, אם שוכנע, על בסיס ראיות מספקות לכאורה בקיומה של עילת תביעה, בקיום התנאים למתן הסעד כאמור בפרק זה ובנחיצות הסעד הזמני לצורך הגשמת המטרה."</w:t>
      </w:r>
    </w:p>
    <w:p w:rsidR="002B602B" w:rsidRPr="002B602B" w:rsidRDefault="002B602B" w:rsidP="002B602B">
      <w:pPr>
        <w:ind w:left="720"/>
        <w:contextualSpacing/>
        <w:jc w:val="both"/>
        <w:rPr>
          <w:rFonts w:ascii="Arial" w:hAnsi="Arial"/>
          <w:b/>
          <w:bCs/>
          <w:noProof w:val="0"/>
          <w:rtl/>
        </w:rPr>
      </w:pPr>
    </w:p>
    <w:p w:rsidR="002B602B" w:rsidRPr="002B602B" w:rsidRDefault="002B602B" w:rsidP="002B602B">
      <w:pPr>
        <w:numPr>
          <w:ilvl w:val="0"/>
          <w:numId w:val="1"/>
        </w:numPr>
        <w:spacing w:line="360" w:lineRule="auto"/>
        <w:contextualSpacing/>
        <w:jc w:val="both"/>
        <w:rPr>
          <w:rFonts w:ascii="Arial" w:hAnsi="Arial"/>
          <w:b/>
          <w:bCs/>
          <w:noProof w:val="0"/>
        </w:rPr>
      </w:pPr>
      <w:r w:rsidRPr="002B602B">
        <w:rPr>
          <w:rFonts w:ascii="Arial" w:hAnsi="Arial" w:hint="cs"/>
          <w:noProof w:val="0"/>
          <w:rtl/>
        </w:rPr>
        <w:t>עוד קובעת תקנה</w:t>
      </w:r>
      <w:r w:rsidRPr="002B602B">
        <w:rPr>
          <w:rFonts w:ascii="Arial" w:hAnsi="Arial"/>
          <w:noProof w:val="0"/>
          <w:rtl/>
        </w:rPr>
        <w:t xml:space="preserve"> 95 (ב) לתקנות</w:t>
      </w:r>
      <w:r w:rsidRPr="002B602B">
        <w:rPr>
          <w:rFonts w:ascii="Arial" w:hAnsi="Arial" w:hint="cs"/>
          <w:noProof w:val="0"/>
          <w:rtl/>
        </w:rPr>
        <w:t xml:space="preserve"> ש</w:t>
      </w:r>
      <w:r w:rsidRPr="002B602B">
        <w:rPr>
          <w:rFonts w:ascii="Arial" w:hAnsi="Arial"/>
          <w:noProof w:val="0"/>
          <w:rtl/>
        </w:rPr>
        <w:t>על מנת שיינתן סעד זמני</w:t>
      </w:r>
      <w:r w:rsidRPr="002B602B">
        <w:rPr>
          <w:rFonts w:ascii="Arial" w:hAnsi="Arial" w:hint="cs"/>
          <w:noProof w:val="0"/>
          <w:rtl/>
        </w:rPr>
        <w:t>,</w:t>
      </w:r>
      <w:r w:rsidRPr="002B602B">
        <w:rPr>
          <w:rFonts w:ascii="Arial" w:hAnsi="Arial"/>
          <w:noProof w:val="0"/>
          <w:rtl/>
        </w:rPr>
        <w:t xml:space="preserve"> על בית המשפט להשתכנע בין היתר בדבר קיומה לכאורה של עילת התובענה, תוך שבמסגרת השיקולים יבואו בחשבון:</w:t>
      </w:r>
    </w:p>
    <w:p w:rsidR="002B602B" w:rsidRPr="002B602B" w:rsidRDefault="002B602B" w:rsidP="002B602B">
      <w:pPr>
        <w:spacing w:line="360" w:lineRule="auto"/>
        <w:ind w:left="1440" w:hanging="720"/>
        <w:contextualSpacing/>
        <w:rPr>
          <w:rFonts w:ascii="Arial" w:hAnsi="Arial"/>
          <w:b/>
          <w:bCs/>
          <w:noProof w:val="0"/>
          <w:rtl/>
        </w:rPr>
      </w:pPr>
      <w:r w:rsidRPr="002B602B">
        <w:rPr>
          <w:rFonts w:ascii="Arial" w:hAnsi="Arial"/>
          <w:b/>
          <w:bCs/>
          <w:noProof w:val="0"/>
          <w:rtl/>
        </w:rPr>
        <w:t>"(ד)</w:t>
      </w:r>
      <w:r w:rsidRPr="002B602B">
        <w:rPr>
          <w:rFonts w:ascii="Arial" w:hAnsi="Arial"/>
          <w:b/>
          <w:bCs/>
          <w:noProof w:val="0"/>
          <w:rtl/>
        </w:rPr>
        <w:tab/>
        <w:t>בהחלטתו אם לתת סעד זמני וכן בקביעת סוג הסעד, היקפו ותנאיו, ישקול בית המשפט, בין השאר, את השיקולים האלה:</w:t>
      </w:r>
    </w:p>
    <w:p w:rsidR="002B602B" w:rsidRPr="002B602B" w:rsidRDefault="002B602B" w:rsidP="002B602B">
      <w:pPr>
        <w:spacing w:line="360" w:lineRule="auto"/>
        <w:ind w:left="1440"/>
        <w:contextualSpacing/>
        <w:rPr>
          <w:rFonts w:ascii="Arial" w:hAnsi="Arial"/>
          <w:b/>
          <w:bCs/>
          <w:noProof w:val="0"/>
          <w:rtl/>
        </w:rPr>
      </w:pPr>
      <w:r w:rsidRPr="002B602B">
        <w:rPr>
          <w:rFonts w:ascii="Arial" w:hAnsi="Arial"/>
          <w:b/>
          <w:bCs/>
          <w:noProof w:val="0"/>
          <w:rtl/>
        </w:rPr>
        <w:t>(1)</w:t>
      </w:r>
      <w:r w:rsidRPr="002B602B">
        <w:rPr>
          <w:rFonts w:ascii="Arial" w:hAnsi="Arial"/>
          <w:b/>
          <w:bCs/>
          <w:noProof w:val="0"/>
          <w:rtl/>
        </w:rPr>
        <w:tab/>
        <w:t>הנזק שעלול להיגרם למבקש אם לא יינתן הסעד הזמני לעומת הנזק שעלול להיגרם למשיב אם יינתן הסעד הזמני, וכן נזק העלול להיגרם לאדם אחר או לעניין ציבורי;</w:t>
      </w:r>
    </w:p>
    <w:p w:rsidR="002B602B" w:rsidRPr="002B602B" w:rsidRDefault="002B602B" w:rsidP="002B602B">
      <w:pPr>
        <w:spacing w:line="360" w:lineRule="auto"/>
        <w:ind w:left="1440"/>
        <w:contextualSpacing/>
        <w:rPr>
          <w:rFonts w:ascii="Arial" w:hAnsi="Arial"/>
          <w:b/>
          <w:bCs/>
          <w:noProof w:val="0"/>
          <w:rtl/>
        </w:rPr>
      </w:pPr>
      <w:r w:rsidRPr="002B602B">
        <w:rPr>
          <w:rFonts w:ascii="Arial" w:hAnsi="Arial"/>
          <w:b/>
          <w:bCs/>
          <w:noProof w:val="0"/>
          <w:rtl/>
        </w:rPr>
        <w:t>(2)</w:t>
      </w:r>
      <w:r w:rsidRPr="002B602B">
        <w:rPr>
          <w:rFonts w:ascii="Arial" w:hAnsi="Arial"/>
          <w:b/>
          <w:bCs/>
          <w:noProof w:val="0"/>
          <w:rtl/>
        </w:rPr>
        <w:tab/>
        <w:t>אם אין סעד אחר שפגיעתו במשיב קלה יותר, המשיג את התכלית שלשמה נועד הסעד הזמני;</w:t>
      </w:r>
    </w:p>
    <w:p w:rsidR="002B602B" w:rsidRPr="002B602B" w:rsidRDefault="002B602B" w:rsidP="002B602B">
      <w:pPr>
        <w:spacing w:line="360" w:lineRule="auto"/>
        <w:ind w:left="1440"/>
        <w:contextualSpacing/>
        <w:jc w:val="both"/>
        <w:rPr>
          <w:rFonts w:ascii="Arial" w:hAnsi="Arial"/>
          <w:b/>
          <w:bCs/>
          <w:noProof w:val="0"/>
          <w:rtl/>
        </w:rPr>
      </w:pPr>
      <w:r w:rsidRPr="002B602B">
        <w:rPr>
          <w:rFonts w:ascii="Arial" w:hAnsi="Arial"/>
          <w:b/>
          <w:bCs/>
          <w:noProof w:val="0"/>
          <w:rtl/>
        </w:rPr>
        <w:lastRenderedPageBreak/>
        <w:t>(3)</w:t>
      </w:r>
      <w:r w:rsidRPr="002B602B">
        <w:rPr>
          <w:rFonts w:ascii="Arial" w:hAnsi="Arial"/>
          <w:b/>
          <w:bCs/>
          <w:noProof w:val="0"/>
          <w:rtl/>
        </w:rPr>
        <w:tab/>
        <w:t>תום לבם של בעלי הדין, הן בקשר לגוף העניין והן בקשר להגשת התביעה ובקשת הסעד הזמני, והאם המבקש לא השתהה יתר על המידה בנסיבות העניין בהגשת כתב התביעה או בהגשת הבקשה לסעד הזמני."</w:t>
      </w:r>
    </w:p>
    <w:p w:rsidR="002B602B" w:rsidRPr="002B602B" w:rsidRDefault="002B602B" w:rsidP="002B602B">
      <w:pPr>
        <w:jc w:val="both"/>
        <w:rPr>
          <w:rFonts w:ascii="Arial" w:hAnsi="Arial"/>
          <w:noProof w:val="0"/>
          <w:rtl/>
        </w:rPr>
      </w:pPr>
    </w:p>
    <w:p w:rsidR="002B602B" w:rsidRPr="002B602B" w:rsidRDefault="002B602B" w:rsidP="002B602B">
      <w:pPr>
        <w:numPr>
          <w:ilvl w:val="0"/>
          <w:numId w:val="1"/>
        </w:numPr>
        <w:spacing w:line="360" w:lineRule="auto"/>
        <w:contextualSpacing/>
        <w:jc w:val="both"/>
        <w:rPr>
          <w:rFonts w:ascii="Arial" w:hAnsi="Arial"/>
          <w:noProof w:val="0"/>
        </w:rPr>
      </w:pPr>
      <w:r w:rsidRPr="002B602B">
        <w:rPr>
          <w:rFonts w:ascii="Arial" w:hAnsi="Arial"/>
          <w:noProof w:val="0"/>
          <w:rtl/>
        </w:rPr>
        <w:t>השיקולים הקב</w:t>
      </w:r>
      <w:r w:rsidRPr="002B602B">
        <w:rPr>
          <w:rFonts w:ascii="Arial" w:hAnsi="Arial" w:hint="cs"/>
          <w:noProof w:val="0"/>
          <w:rtl/>
        </w:rPr>
        <w:t>ו</w:t>
      </w:r>
      <w:r w:rsidRPr="002B602B">
        <w:rPr>
          <w:rFonts w:ascii="Arial" w:hAnsi="Arial"/>
          <w:noProof w:val="0"/>
          <w:rtl/>
        </w:rPr>
        <w:t xml:space="preserve">עים במתן צו מניעה זמני, כסעד זמני </w:t>
      </w:r>
      <w:proofErr w:type="spellStart"/>
      <w:r w:rsidRPr="002B602B">
        <w:rPr>
          <w:rFonts w:ascii="Arial" w:hAnsi="Arial"/>
          <w:noProof w:val="0"/>
          <w:rtl/>
        </w:rPr>
        <w:t>מכח</w:t>
      </w:r>
      <w:proofErr w:type="spellEnd"/>
      <w:r w:rsidRPr="002B602B">
        <w:rPr>
          <w:rFonts w:ascii="Arial" w:hAnsi="Arial"/>
          <w:noProof w:val="0"/>
          <w:rtl/>
        </w:rPr>
        <w:t xml:space="preserve"> תקנה 95 לעיל, הינם קיומה של הזכות לכאורה לקבלת התביעה, וכן כי מאזן הנוחות נוטה לטובתו של התובע; תנאים נוספים הינם היעדר סעד אחר שפגיעתו פחותה המגשים את התכלית שלשמה נועד הסעד, ותום ליבו של המבקש שאינו השתהה יתר ל המידה בהגשת כתב התביעה או הבקשה לסעד הזמני.</w:t>
      </w:r>
    </w:p>
    <w:p w:rsidR="002B602B" w:rsidRPr="002B602B" w:rsidRDefault="002B602B" w:rsidP="002B602B">
      <w:pPr>
        <w:ind w:left="360"/>
        <w:contextualSpacing/>
        <w:jc w:val="both"/>
        <w:rPr>
          <w:rFonts w:ascii="Arial" w:hAnsi="Arial"/>
          <w:noProof w:val="0"/>
        </w:rPr>
      </w:pPr>
    </w:p>
    <w:p w:rsidR="002B602B" w:rsidRPr="002B602B" w:rsidRDefault="002B602B" w:rsidP="002B602B">
      <w:pPr>
        <w:numPr>
          <w:ilvl w:val="0"/>
          <w:numId w:val="1"/>
        </w:numPr>
        <w:spacing w:line="360" w:lineRule="auto"/>
        <w:contextualSpacing/>
        <w:jc w:val="both"/>
        <w:rPr>
          <w:rFonts w:ascii="Arial" w:hAnsi="Arial"/>
          <w:noProof w:val="0"/>
        </w:rPr>
      </w:pPr>
      <w:r w:rsidRPr="002B602B">
        <w:rPr>
          <w:rFonts w:ascii="Arial" w:hAnsi="Arial" w:hint="cs"/>
          <w:noProof w:val="0"/>
          <w:rtl/>
        </w:rPr>
        <w:t xml:space="preserve">התובע טוען טענות רבות בדבר זכותו לקבלת הסעד, וזאת כמפורט בכתב התביעה לאכיפת  הסכם הגירושין בין הצדדים מסגרתו גובשו ההסכמות לעניין פירוק השיתוף; </w:t>
      </w:r>
      <w:r w:rsidRPr="002B602B">
        <w:rPr>
          <w:rFonts w:ascii="Arial" w:hAnsi="Arial"/>
          <w:noProof w:val="0"/>
          <w:rtl/>
        </w:rPr>
        <w:t xml:space="preserve">טענות אלה יפות וצריכות, ברם, </w:t>
      </w:r>
      <w:r w:rsidRPr="002B602B">
        <w:rPr>
          <w:rFonts w:ascii="Arial" w:hAnsi="Arial" w:hint="cs"/>
          <w:noProof w:val="0"/>
          <w:rtl/>
        </w:rPr>
        <w:t>מקומן ב</w:t>
      </w:r>
      <w:r w:rsidRPr="002B602B">
        <w:rPr>
          <w:rFonts w:ascii="Arial" w:hAnsi="Arial"/>
          <w:noProof w:val="0"/>
          <w:rtl/>
        </w:rPr>
        <w:t>הליך לגופו ולא בשלב זה</w:t>
      </w:r>
      <w:r w:rsidRPr="002B602B">
        <w:rPr>
          <w:rFonts w:ascii="Arial" w:hAnsi="Arial" w:hint="cs"/>
          <w:noProof w:val="0"/>
          <w:rtl/>
        </w:rPr>
        <w:t>,</w:t>
      </w:r>
      <w:r w:rsidRPr="002B602B">
        <w:rPr>
          <w:rFonts w:ascii="Arial" w:hAnsi="Arial"/>
          <w:noProof w:val="0"/>
          <w:rtl/>
        </w:rPr>
        <w:t xml:space="preserve"> וזאת בין היתר נוכח הבירור העובדתי הצריך.  בעניין זה יפים דברי השופט מ' אלון בע"א 483/85 דניאל לב נ' דגם מערכות בע"מ, לט(4) 729 (1986):</w:t>
      </w:r>
    </w:p>
    <w:p w:rsidR="002B602B" w:rsidRPr="002B602B" w:rsidRDefault="002B602B" w:rsidP="002B602B">
      <w:pPr>
        <w:spacing w:line="360" w:lineRule="auto"/>
        <w:ind w:left="720"/>
        <w:contextualSpacing/>
        <w:jc w:val="both"/>
        <w:rPr>
          <w:rFonts w:ascii="Arial" w:hAnsi="Arial"/>
          <w:b/>
          <w:bCs/>
          <w:noProof w:val="0"/>
          <w:rtl/>
        </w:rPr>
      </w:pPr>
      <w:r w:rsidRPr="002B602B">
        <w:rPr>
          <w:rFonts w:ascii="Arial" w:hAnsi="Arial"/>
          <w:b/>
          <w:bCs/>
          <w:noProof w:val="0"/>
          <w:rtl/>
        </w:rPr>
        <w:t xml:space="preserve">"הדברים נאים ויפים, אך טרם הגיעה השעה לעיין בהם, שהרי עוד לא נדונה התביעה לגופה, ולא הובאו ראיות לכאן ולכאן. חלק מהטענות שהושמעו לפנינו הן, שאף המצהירים לא נחקרו כדבעי על תצהיריהם. </w:t>
      </w:r>
      <w:proofErr w:type="spellStart"/>
      <w:r w:rsidRPr="002B602B">
        <w:rPr>
          <w:rFonts w:ascii="Arial" w:hAnsi="Arial"/>
          <w:b/>
          <w:bCs/>
          <w:noProof w:val="0"/>
          <w:rtl/>
        </w:rPr>
        <w:t>בכגון</w:t>
      </w:r>
      <w:proofErr w:type="spellEnd"/>
      <w:r w:rsidRPr="002B602B">
        <w:rPr>
          <w:rFonts w:ascii="Arial" w:hAnsi="Arial"/>
          <w:b/>
          <w:bCs/>
          <w:noProof w:val="0"/>
          <w:rtl/>
        </w:rPr>
        <w:t xml:space="preserve"> דא אין אנו נדרשים - ובדרך כלל אף לא זכאים - לדון ולהחליט בעניין גופו אלא אך ורק בשאלה, אם מקום יש </w:t>
      </w:r>
      <w:proofErr w:type="spellStart"/>
      <w:r w:rsidRPr="002B602B">
        <w:rPr>
          <w:rFonts w:ascii="Arial" w:hAnsi="Arial"/>
          <w:b/>
          <w:bCs/>
          <w:noProof w:val="0"/>
          <w:rtl/>
        </w:rPr>
        <w:t>ליתן</w:t>
      </w:r>
      <w:proofErr w:type="spellEnd"/>
      <w:r w:rsidRPr="002B602B">
        <w:rPr>
          <w:rFonts w:ascii="Arial" w:hAnsi="Arial"/>
          <w:b/>
          <w:bCs/>
          <w:noProof w:val="0"/>
          <w:rtl/>
        </w:rPr>
        <w:t xml:space="preserve"> סעד זמני אם לאו (ראה ע"א 418/79 [1], בעמ' 166; ע"א 238/73 [2], בעמ' 88). ומכל שכן שכך הוא בעניין שלפנינו, שכל כולו של צו המניעה הזמני יפה הוא עד ליום 6.6.86, שאזי אליבא דכולי עלמא משוחרר המערער מהגבלה כלשהי; עיון בגופן של הבעיות, שהעלו בעלי הדין לפנינו, ישפיע בהכרח על דחיית מועד מתן פסק הדין על-ידינו, וגם לכשיינתן, אין לדעת אם זהו סוף פסוק, שהרי, כאמור, לא כל הנתונים העובדתיים שבמקרה שלפנינו מצויים עתה בידינו. ואין צריך לומר, שהקביעות העובדתיות של השופט המלומד </w:t>
      </w:r>
      <w:proofErr w:type="spellStart"/>
      <w:r w:rsidRPr="002B602B">
        <w:rPr>
          <w:rFonts w:ascii="Arial" w:hAnsi="Arial"/>
          <w:b/>
          <w:bCs/>
          <w:noProof w:val="0"/>
          <w:rtl/>
        </w:rPr>
        <w:t>יפוט</w:t>
      </w:r>
      <w:proofErr w:type="spellEnd"/>
      <w:r w:rsidRPr="002B602B">
        <w:rPr>
          <w:rFonts w:ascii="Arial" w:hAnsi="Arial"/>
          <w:b/>
          <w:bCs/>
          <w:noProof w:val="0"/>
          <w:rtl/>
        </w:rPr>
        <w:t xml:space="preserve"> הן רק לעניין מתן הסעד הזמני ולא לעניין החלטה סופית בעניין </w:t>
      </w:r>
      <w:proofErr w:type="spellStart"/>
      <w:r w:rsidRPr="002B602B">
        <w:rPr>
          <w:rFonts w:ascii="Arial" w:hAnsi="Arial"/>
          <w:b/>
          <w:bCs/>
          <w:noProof w:val="0"/>
          <w:rtl/>
        </w:rPr>
        <w:t>שלפננו</w:t>
      </w:r>
      <w:proofErr w:type="spellEnd"/>
      <w:r w:rsidRPr="002B602B">
        <w:rPr>
          <w:rFonts w:ascii="Arial" w:hAnsi="Arial"/>
          <w:b/>
          <w:bCs/>
          <w:noProof w:val="0"/>
          <w:rtl/>
        </w:rPr>
        <w:t>, שלגביה צריך שיתקיים בירור עובדתי נוסף, לפי טענות בעלי הדין."</w:t>
      </w:r>
    </w:p>
    <w:p w:rsidR="002B602B" w:rsidRPr="002B602B" w:rsidRDefault="002B602B" w:rsidP="002B602B">
      <w:pPr>
        <w:contextualSpacing/>
        <w:jc w:val="both"/>
        <w:rPr>
          <w:rFonts w:ascii="Arial" w:hAnsi="Arial"/>
          <w:b/>
          <w:bCs/>
          <w:noProof w:val="0"/>
          <w:rtl/>
        </w:rPr>
      </w:pPr>
    </w:p>
    <w:p w:rsidR="002B602B" w:rsidRPr="002B602B" w:rsidRDefault="002B602B" w:rsidP="002B602B">
      <w:pPr>
        <w:numPr>
          <w:ilvl w:val="0"/>
          <w:numId w:val="1"/>
        </w:numPr>
        <w:spacing w:line="360" w:lineRule="auto"/>
        <w:contextualSpacing/>
        <w:jc w:val="both"/>
        <w:rPr>
          <w:rFonts w:ascii="Arial" w:hAnsi="Arial"/>
          <w:noProof w:val="0"/>
        </w:rPr>
      </w:pPr>
      <w:r w:rsidRPr="002B602B">
        <w:rPr>
          <w:rFonts w:ascii="Arial" w:hAnsi="Arial"/>
          <w:noProof w:val="0"/>
          <w:rtl/>
        </w:rPr>
        <w:t>בנוסף לכל האמור לעיל, ומבלי לגרוע מהם; עיון בסעד הזמני לו עותר ה</w:t>
      </w:r>
      <w:r w:rsidRPr="002B602B">
        <w:rPr>
          <w:rFonts w:ascii="Arial" w:hAnsi="Arial" w:hint="cs"/>
          <w:noProof w:val="0"/>
          <w:rtl/>
        </w:rPr>
        <w:t>תובע</w:t>
      </w:r>
      <w:r w:rsidRPr="002B602B">
        <w:rPr>
          <w:rFonts w:ascii="Arial" w:hAnsi="Arial"/>
          <w:noProof w:val="0"/>
          <w:rtl/>
        </w:rPr>
        <w:t xml:space="preserve"> זהה לסעד העיקרי בכתב תביעתו. כידוע, על פי הפסיקה, אין זה נהוג </w:t>
      </w:r>
      <w:proofErr w:type="spellStart"/>
      <w:r w:rsidRPr="002B602B">
        <w:rPr>
          <w:rFonts w:ascii="Arial" w:hAnsi="Arial"/>
          <w:noProof w:val="0"/>
          <w:rtl/>
        </w:rPr>
        <w:t>ליתן</w:t>
      </w:r>
      <w:proofErr w:type="spellEnd"/>
      <w:r w:rsidRPr="002B602B">
        <w:rPr>
          <w:rFonts w:ascii="Arial" w:hAnsi="Arial"/>
          <w:noProof w:val="0"/>
          <w:rtl/>
        </w:rPr>
        <w:t xml:space="preserve"> סעד זמני הזהה לסעד העיקרי המבוקש שכן אם יינתן הצו הזמני - יתייתר הדיון בתביעה העיקרית. המדובר בקושי שבדרך כלל די בו כדי לסכל את האפשרות להיענות לבקשה לסעד זמני (ראו: רע"א 338/88, </w:t>
      </w:r>
      <w:proofErr w:type="spellStart"/>
      <w:r w:rsidRPr="002B602B">
        <w:rPr>
          <w:rFonts w:ascii="Arial" w:hAnsi="Arial"/>
          <w:noProof w:val="0"/>
          <w:rtl/>
        </w:rPr>
        <w:t>חמיס</w:t>
      </w:r>
      <w:proofErr w:type="spellEnd"/>
      <w:r w:rsidRPr="002B602B">
        <w:rPr>
          <w:rFonts w:ascii="Arial" w:hAnsi="Arial"/>
          <w:noProof w:val="0"/>
          <w:rtl/>
        </w:rPr>
        <w:t xml:space="preserve"> נ. שטרן, פ"ד מג (4) 552 (1989)); רע"א 6203/20 </w:t>
      </w:r>
      <w:proofErr w:type="spellStart"/>
      <w:r w:rsidRPr="002B602B">
        <w:rPr>
          <w:rFonts w:ascii="Arial" w:hAnsi="Arial"/>
          <w:noProof w:val="0"/>
          <w:rtl/>
        </w:rPr>
        <w:t>י.ע.ז</w:t>
      </w:r>
      <w:proofErr w:type="spellEnd"/>
      <w:r w:rsidRPr="002B602B">
        <w:rPr>
          <w:rFonts w:ascii="Arial" w:hAnsi="Arial"/>
          <w:noProof w:val="0"/>
          <w:rtl/>
        </w:rPr>
        <w:t xml:space="preserve"> חברה לבניה ופיתוח נגד רפאל מערכות לחימה מתקדמות בע"מ). עוד נקבע  כי "הימנעות ממתן סעד זמני הזהה לסעד עקרי רלוונטי, ככלל, </w:t>
      </w:r>
      <w:proofErr w:type="spellStart"/>
      <w:r w:rsidRPr="002B602B">
        <w:rPr>
          <w:rFonts w:ascii="Arial" w:hAnsi="Arial"/>
          <w:noProof w:val="0"/>
          <w:rtl/>
        </w:rPr>
        <w:t>לסעדים</w:t>
      </w:r>
      <w:proofErr w:type="spellEnd"/>
      <w:r w:rsidRPr="002B602B">
        <w:rPr>
          <w:rFonts w:ascii="Arial" w:hAnsi="Arial"/>
          <w:noProof w:val="0"/>
          <w:rtl/>
        </w:rPr>
        <w:t xml:space="preserve"> שעניינם בשינוי המצב הקיים, כגון במתן צו עשה וכדומה" (ראה רע"א 24-7/19 זיו ואח' נגד בנק לאומי לישראל, פרסם בנבו).  </w:t>
      </w:r>
      <w:r w:rsidRPr="002B602B">
        <w:rPr>
          <w:rFonts w:ascii="Arial" w:hAnsi="Arial" w:hint="cs"/>
          <w:noProof w:val="0"/>
          <w:rtl/>
        </w:rPr>
        <w:t xml:space="preserve">עובדה זו מקבלת משנה תוקף בעניינו מקום בו סעד של פירוק שיתוף הינו סעד משמעותי, אשר יכול ולא ניתן להחזיר את המצב לקדמותו ככל </w:t>
      </w:r>
      <w:proofErr w:type="spellStart"/>
      <w:r w:rsidRPr="002B602B">
        <w:rPr>
          <w:rFonts w:ascii="Arial" w:hAnsi="Arial" w:hint="cs"/>
          <w:noProof w:val="0"/>
          <w:rtl/>
        </w:rPr>
        <w:t>וינתן</w:t>
      </w:r>
      <w:proofErr w:type="spellEnd"/>
      <w:r w:rsidRPr="002B602B">
        <w:rPr>
          <w:rFonts w:ascii="Arial" w:hAnsi="Arial" w:hint="cs"/>
          <w:noProof w:val="0"/>
          <w:rtl/>
        </w:rPr>
        <w:t xml:space="preserve">, כמו גם עלול ליצור הסתמכות של צד ג'. </w:t>
      </w:r>
    </w:p>
    <w:p w:rsidR="002B602B" w:rsidRPr="002B602B" w:rsidRDefault="002B602B" w:rsidP="002B602B">
      <w:pPr>
        <w:ind w:left="360"/>
        <w:contextualSpacing/>
        <w:jc w:val="both"/>
        <w:rPr>
          <w:rFonts w:ascii="Arial" w:hAnsi="Arial"/>
          <w:b/>
          <w:bCs/>
          <w:noProof w:val="0"/>
        </w:rPr>
      </w:pPr>
    </w:p>
    <w:p w:rsidR="002B602B" w:rsidRPr="002B602B" w:rsidRDefault="002B602B" w:rsidP="002B602B">
      <w:pPr>
        <w:numPr>
          <w:ilvl w:val="0"/>
          <w:numId w:val="1"/>
        </w:numPr>
        <w:spacing w:line="360" w:lineRule="auto"/>
        <w:contextualSpacing/>
        <w:jc w:val="both"/>
        <w:rPr>
          <w:rFonts w:ascii="Arial" w:hAnsi="Arial"/>
          <w:noProof w:val="0"/>
        </w:rPr>
      </w:pPr>
      <w:r w:rsidRPr="002B602B">
        <w:rPr>
          <w:rFonts w:ascii="Arial" w:hAnsi="Arial" w:hint="cs"/>
          <w:noProof w:val="0"/>
          <w:rtl/>
        </w:rPr>
        <w:t>מכל האמור, הבקשה, בשלב זה של ההליך, נדחית.  טענות הצדדים יידונו במסגרת ההליך לגופו.</w:t>
      </w:r>
    </w:p>
    <w:p w:rsidR="002B602B" w:rsidRPr="002B602B" w:rsidRDefault="002B602B" w:rsidP="002B602B">
      <w:pPr>
        <w:ind w:left="720"/>
        <w:contextualSpacing/>
        <w:rPr>
          <w:rFonts w:ascii="Arial" w:hAnsi="Arial"/>
          <w:noProof w:val="0"/>
          <w:rtl/>
        </w:rPr>
      </w:pPr>
    </w:p>
    <w:p w:rsidR="002B602B" w:rsidRPr="002B602B" w:rsidRDefault="002B602B" w:rsidP="002B602B">
      <w:pPr>
        <w:numPr>
          <w:ilvl w:val="0"/>
          <w:numId w:val="1"/>
        </w:numPr>
        <w:spacing w:line="360" w:lineRule="auto"/>
        <w:contextualSpacing/>
        <w:jc w:val="both"/>
        <w:rPr>
          <w:rFonts w:ascii="Arial" w:hAnsi="Arial"/>
          <w:noProof w:val="0"/>
          <w:rtl/>
        </w:rPr>
      </w:pPr>
      <w:r w:rsidRPr="002B602B">
        <w:rPr>
          <w:rFonts w:ascii="Arial" w:hAnsi="Arial" w:hint="cs"/>
          <w:noProof w:val="0"/>
          <w:rtl/>
        </w:rPr>
        <w:lastRenderedPageBreak/>
        <w:t xml:space="preserve">מבלי לפגוע באמור לעיל או לקבוע מסמרות בטענות הצדדים, נוכח הוראות ההסכם, טוב יעשו הצדדים באם יגיעו להסכמות, וזאת בין היתר בכדי לייתר הליכי גביה שיכול וינקטו כנגדם. </w:t>
      </w:r>
    </w:p>
    <w:p w:rsidR="002B602B" w:rsidRPr="002B602B" w:rsidRDefault="002B602B" w:rsidP="002B602B">
      <w:pPr>
        <w:spacing w:line="360" w:lineRule="auto"/>
        <w:jc w:val="both"/>
        <w:rPr>
          <w:rFonts w:ascii="Arial" w:hAnsi="Arial"/>
          <w:noProof w:val="0"/>
          <w:rtl/>
        </w:rPr>
      </w:pPr>
    </w:p>
    <w:p w:rsidR="002B602B" w:rsidRPr="002B602B" w:rsidRDefault="002B602B" w:rsidP="002B602B">
      <w:pPr>
        <w:spacing w:line="360" w:lineRule="auto"/>
        <w:jc w:val="both"/>
        <w:rPr>
          <w:rFonts w:ascii="Arial" w:hAnsi="Arial"/>
          <w:noProof w:val="0"/>
          <w:rtl/>
        </w:rPr>
      </w:pPr>
    </w:p>
    <w:p w:rsidR="002B602B" w:rsidRPr="002B602B" w:rsidRDefault="002B602B" w:rsidP="002B602B">
      <w:pPr>
        <w:spacing w:line="360" w:lineRule="auto"/>
        <w:jc w:val="both"/>
        <w:rPr>
          <w:rFonts w:ascii="Arial" w:hAnsi="Arial"/>
          <w:noProof w:val="0"/>
          <w:rtl/>
        </w:rPr>
      </w:pPr>
    </w:p>
    <w:p w:rsidR="002B602B" w:rsidRPr="002B602B" w:rsidRDefault="002B602B" w:rsidP="002B602B">
      <w:pPr>
        <w:spacing w:line="360" w:lineRule="auto"/>
        <w:jc w:val="both"/>
        <w:rPr>
          <w:rFonts w:ascii="Arial" w:hAnsi="Arial"/>
          <w:noProof w:val="0"/>
          <w:rtl/>
        </w:rPr>
      </w:pPr>
    </w:p>
    <w:p w:rsidR="002B602B" w:rsidRPr="002B602B" w:rsidRDefault="002B602B" w:rsidP="002B602B">
      <w:pPr>
        <w:spacing w:line="360" w:lineRule="auto"/>
        <w:jc w:val="both"/>
        <w:rPr>
          <w:rFonts w:ascii="Arial" w:hAnsi="Arial"/>
          <w:noProof w:val="0"/>
          <w:rtl/>
        </w:rPr>
      </w:pPr>
      <w:r w:rsidRPr="002B602B">
        <w:rPr>
          <w:rFonts w:ascii="Arial" w:hAnsi="Arial" w:hint="cs"/>
          <w:noProof w:val="0"/>
          <w:rtl/>
        </w:rPr>
        <w:t xml:space="preserve">משלא הוגשה תגובה, איני עושה צו להוצאות. </w:t>
      </w:r>
    </w:p>
    <w:p w:rsidR="002B602B" w:rsidRPr="002B602B" w:rsidRDefault="002B602B" w:rsidP="002B602B">
      <w:pPr>
        <w:spacing w:line="360" w:lineRule="auto"/>
        <w:jc w:val="both"/>
        <w:rPr>
          <w:rFonts w:ascii="Arial" w:hAnsi="Arial"/>
          <w:noProof w:val="0"/>
          <w:rtl/>
        </w:rPr>
      </w:pPr>
    </w:p>
    <w:p w:rsidR="002B602B" w:rsidRPr="002B602B" w:rsidRDefault="002B602B" w:rsidP="002B602B">
      <w:pPr>
        <w:spacing w:line="360" w:lineRule="auto"/>
        <w:jc w:val="both"/>
        <w:rPr>
          <w:rFonts w:ascii="Arial" w:hAnsi="Arial"/>
          <w:noProof w:val="0"/>
          <w:rtl/>
        </w:rPr>
      </w:pPr>
      <w:r w:rsidRPr="002B602B">
        <w:rPr>
          <w:rFonts w:ascii="Arial" w:hAnsi="Arial" w:hint="cs"/>
          <w:b/>
          <w:bCs/>
          <w:noProof w:val="0"/>
          <w:rtl/>
        </w:rPr>
        <w:t>המזכירות</w:t>
      </w:r>
      <w:r w:rsidRPr="002B602B">
        <w:rPr>
          <w:rFonts w:ascii="Arial" w:hAnsi="Arial" w:hint="cs"/>
          <w:noProof w:val="0"/>
          <w:rtl/>
        </w:rPr>
        <w:t xml:space="preserve"> תמציא החלטתי לצדדים. </w:t>
      </w:r>
    </w:p>
    <w:p w:rsidR="002B602B" w:rsidRPr="002B602B" w:rsidRDefault="002B602B" w:rsidP="002B602B">
      <w:pPr>
        <w:spacing w:line="360" w:lineRule="auto"/>
        <w:jc w:val="both"/>
        <w:rPr>
          <w:rFonts w:ascii="Arial" w:hAnsi="Arial"/>
          <w:noProof w:val="0"/>
          <w:rtl/>
        </w:rPr>
      </w:pPr>
    </w:p>
    <w:p w:rsidR="002B602B" w:rsidRPr="002B602B" w:rsidRDefault="002B602B" w:rsidP="002B602B">
      <w:pPr>
        <w:spacing w:line="360" w:lineRule="auto"/>
        <w:jc w:val="both"/>
        <w:rPr>
          <w:rFonts w:ascii="Arial" w:hAnsi="Arial"/>
          <w:noProof w:val="0"/>
          <w:rtl/>
        </w:rPr>
      </w:pPr>
      <w:r w:rsidRPr="002B602B">
        <w:rPr>
          <w:rFonts w:ascii="Arial" w:hAnsi="Arial"/>
          <w:noProof w:val="0"/>
          <w:rtl/>
        </w:rPr>
        <w:t>נית</w:t>
      </w:r>
      <w:r w:rsidRPr="002B602B">
        <w:rPr>
          <w:rFonts w:ascii="Arial" w:hAnsi="Arial" w:hint="cs"/>
          <w:noProof w:val="0"/>
          <w:rtl/>
        </w:rPr>
        <w:t>נה</w:t>
      </w:r>
      <w:r w:rsidRPr="002B602B">
        <w:rPr>
          <w:rFonts w:ascii="Arial" w:hAnsi="Arial"/>
          <w:noProof w:val="0"/>
          <w:rtl/>
        </w:rPr>
        <w:t xml:space="preserve"> היום, </w:t>
      </w:r>
      <w:sdt>
        <w:sdtPr>
          <w:rPr>
            <w:rtl/>
          </w:rPr>
          <w:alias w:val="1455"/>
          <w:tag w:val="1455"/>
          <w:id w:val="1666048407"/>
          <w:text w:multiLine="1"/>
        </w:sdtPr>
        <w:sdtEndPr/>
        <w:sdtContent>
          <w:r w:rsidRPr="002B602B">
            <w:rPr>
              <w:rtl/>
            </w:rPr>
            <w:t>ט"ז חשוון תשפ"ה</w:t>
          </w:r>
        </w:sdtContent>
      </w:sdt>
      <w:r w:rsidRPr="002B602B">
        <w:rPr>
          <w:rFonts w:ascii="Arial" w:hAnsi="Arial"/>
          <w:noProof w:val="0"/>
          <w:rtl/>
        </w:rPr>
        <w:t xml:space="preserve">, </w:t>
      </w:r>
      <w:sdt>
        <w:sdtPr>
          <w:rPr>
            <w:rtl/>
          </w:rPr>
          <w:alias w:val="1456"/>
          <w:tag w:val="1456"/>
          <w:id w:val="-1186288958"/>
          <w:text w:multiLine="1"/>
        </w:sdtPr>
        <w:sdtEndPr/>
        <w:sdtContent>
          <w:r w:rsidRPr="002B602B">
            <w:rPr>
              <w:rtl/>
            </w:rPr>
            <w:t>17 נובמבר 2024</w:t>
          </w:r>
        </w:sdtContent>
      </w:sdt>
      <w:r w:rsidRPr="002B602B">
        <w:rPr>
          <w:rFonts w:ascii="Arial" w:hAnsi="Arial"/>
          <w:noProof w:val="0"/>
          <w:rtl/>
        </w:rPr>
        <w:t>, בהעדר הצדדים.</w:t>
      </w:r>
    </w:p>
    <w:p w:rsidR="002B602B" w:rsidRPr="002B602B" w:rsidRDefault="00A73EE0" w:rsidP="002B602B">
      <w:pPr>
        <w:tabs>
          <w:tab w:val="left" w:pos="2553"/>
        </w:tabs>
        <w:ind w:left="5040"/>
        <w:rPr>
          <w:rtl/>
        </w:rPr>
      </w:pPr>
      <w:sdt>
        <w:sdtPr>
          <w:rPr>
            <w:rFonts w:hint="cs"/>
            <w:rtl/>
          </w:rPr>
          <w:alias w:val="2045"/>
          <w:tag w:val="2045"/>
          <w:id w:val="740689340"/>
          <w:placeholder>
            <w:docPart w:val="5E7C5234FFA748F89EAC79834F9E1630"/>
          </w:placeholder>
          <w:showingPlcHdr/>
          <w:text w:multiLine="1"/>
        </w:sdtPr>
        <w:sdtEndPr/>
        <w:sdtContent>
          <w:r w:rsidR="002B602B" w:rsidRPr="002B602B">
            <w:rPr>
              <w:rFonts w:hint="cs"/>
              <w:rtl/>
            </w:rPr>
            <w:t xml:space="preserve">     </w:t>
          </w:r>
        </w:sdtContent>
      </w:sdt>
    </w:p>
    <w:p w:rsidR="002B602B" w:rsidRPr="002B602B" w:rsidRDefault="002B602B" w:rsidP="002B602B">
      <w:pPr>
        <w:tabs>
          <w:tab w:val="left" w:pos="2553"/>
        </w:tabs>
        <w:rPr>
          <w:rFonts w:ascii="Arial" w:hAnsi="Arial"/>
          <w:noProof w:val="0"/>
          <w:rtl/>
        </w:rPr>
      </w:pPr>
      <w:r w:rsidRPr="002B602B">
        <w:rPr>
          <w:rFonts w:hint="cs"/>
          <w:rtl/>
        </w:rPr>
        <w:tab/>
      </w:r>
      <w:r w:rsidRPr="002B602B">
        <w:rPr>
          <w:rFonts w:hint="cs"/>
          <w:rtl/>
        </w:rPr>
        <w:tab/>
      </w:r>
      <w:r w:rsidRPr="002B602B">
        <w:rPr>
          <w:rFonts w:hint="cs"/>
          <w:rtl/>
        </w:rPr>
        <w:tab/>
      </w:r>
      <w:r w:rsidRPr="002B602B">
        <w:rPr>
          <w:rFonts w:hint="cs"/>
          <w:rtl/>
        </w:rPr>
        <w:tab/>
        <w:t xml:space="preserve">        </w:t>
      </w:r>
      <w:sdt>
        <w:sdtPr>
          <w:rPr>
            <w:rtl/>
          </w:rPr>
          <w:alias w:val="1237"/>
          <w:tag w:val="1237"/>
          <w:id w:val="1177927602"/>
          <w:text w:multiLine="1"/>
        </w:sdtPr>
        <w:sdtEndPr/>
        <w:sdtContent>
          <w:r w:rsidRPr="002B602B">
            <w:rPr>
              <w:rtl/>
            </w:rPr>
            <w:t>חתימה</w:t>
          </w:r>
        </w:sdtContent>
      </w:sdt>
    </w:p>
    <w:p w:rsidR="008033E4" w:rsidRPr="002B602B" w:rsidRDefault="008033E4" w:rsidP="002B602B"/>
    <w:sectPr w:rsidR="008033E4" w:rsidRPr="002B602B" w:rsidSect="003B182D">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B3198A"/>
    <w:multiLevelType w:val="hybridMultilevel"/>
    <w:tmpl w:val="A0C633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02B"/>
    <w:rsid w:val="001F47E7"/>
    <w:rsid w:val="002B602B"/>
    <w:rsid w:val="003B182D"/>
    <w:rsid w:val="008033E4"/>
    <w:rsid w:val="00A73EE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D96205-E4D2-4DF3-B451-7A96FCEEC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02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B602B"/>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B60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E7C5234FFA748F89EAC79834F9E1630"/>
        <w:category>
          <w:name w:val="כללי"/>
          <w:gallery w:val="placeholder"/>
        </w:category>
        <w:types>
          <w:type w:val="bbPlcHdr"/>
        </w:types>
        <w:behaviors>
          <w:behavior w:val="content"/>
        </w:behaviors>
        <w:guid w:val="{8DF02A86-7BBE-4375-9526-C4207722A987}"/>
      </w:docPartPr>
      <w:docPartBody>
        <w:p w:rsidR="00147D43" w:rsidRDefault="00FC2298" w:rsidP="00FC2298">
          <w:pPr>
            <w:pStyle w:val="5E7C5234FFA748F89EAC79834F9E163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298"/>
    <w:rsid w:val="00147D43"/>
    <w:rsid w:val="006D7060"/>
    <w:rsid w:val="009664D2"/>
    <w:rsid w:val="00FC229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01ADA883438414C8676A13EAA00D0F3">
    <w:name w:val="401ADA883438414C8676A13EAA00D0F3"/>
    <w:rsid w:val="00FC2298"/>
    <w:pPr>
      <w:bidi/>
    </w:pPr>
  </w:style>
  <w:style w:type="paragraph" w:customStyle="1" w:styleId="FC9D3ED6738144BEA419AC72513B6D7D">
    <w:name w:val="FC9D3ED6738144BEA419AC72513B6D7D"/>
    <w:rsid w:val="00FC2298"/>
    <w:pPr>
      <w:bidi/>
    </w:pPr>
  </w:style>
  <w:style w:type="paragraph" w:customStyle="1" w:styleId="5E7C5234FFA748F89EAC79834F9E1630">
    <w:name w:val="5E7C5234FFA748F89EAC79834F9E1630"/>
    <w:rsid w:val="00FC229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3823</Characters>
  <Application>Microsoft Office Word</Application>
  <DocSecurity>0</DocSecurity>
  <Lines>31</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דהן חיון</dc:creator>
  <cp:keywords/>
  <dc:description/>
  <cp:lastModifiedBy>אסתר טטרואשילי</cp:lastModifiedBy>
  <cp:revision>2</cp:revision>
  <dcterms:created xsi:type="dcterms:W3CDTF">2024-12-05T08:01:00Z</dcterms:created>
  <dcterms:modified xsi:type="dcterms:W3CDTF">2024-12-05T08:01:00Z</dcterms:modified>
</cp:coreProperties>
</file>